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6"/>
          <w:szCs w:val="2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24075" cy="72407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24075" cy="7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7.01pt;height:57.01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6"/>
          <w:szCs w:val="26"/>
        </w:rPr>
      </w:r>
    </w:p>
    <w:p>
      <w:pPr>
        <w:jc w:val="center"/>
        <w:spacing w:line="480" w:lineRule="auto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АЛТАЙСКОЕ КРАЕВОЕ ЗАКОНОДАТЕЛЬНОЕ СОБРАНИЕ</w:t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spacing w:line="480" w:lineRule="auto"/>
        <w:rPr>
          <w:rFonts w:ascii="PT Astra Serif" w:hAnsi="PT Astra Serif" w:cs="PT Astra Serif"/>
          <w:b/>
          <w:spacing w:val="80"/>
          <w:sz w:val="36"/>
          <w:szCs w:val="36"/>
        </w:rPr>
      </w:pPr>
      <w:r>
        <w:rPr>
          <w:rFonts w:ascii="PT Astra Serif" w:hAnsi="PT Astra Serif" w:eastAsia="PT Astra Serif" w:cs="PT Astra Serif"/>
          <w:b/>
          <w:spacing w:val="80"/>
          <w:sz w:val="36"/>
          <w:szCs w:val="36"/>
        </w:rPr>
        <w:t xml:space="preserve">ПОСТАНОВЛЕНИЕ</w:t>
      </w:r>
      <w:r>
        <w:rPr>
          <w:rFonts w:ascii="PT Astra Serif" w:hAnsi="PT Astra Serif" w:cs="PT Astra Serif"/>
          <w:b/>
          <w:spacing w:val="80"/>
          <w:sz w:val="36"/>
          <w:szCs w:val="36"/>
        </w:rPr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60"/>
        <w:gridCol w:w="255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460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№</w:t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</w:tbl>
    <w:p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г. Барнаул</w:t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5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 деятельности Уполномоченного по права</w:t>
            </w:r>
            <w:bookmarkStart w:id="0" w:name="_GoBack"/>
            <w:r>
              <w:rPr>
                <w:rFonts w:ascii="PT Astra Serif" w:hAnsi="PT Astra Serif" w:eastAsia="PT Astra Serif" w:cs="PT Astra Serif"/>
              </w:rPr>
            </w:r>
            <w:bookmarkEnd w:id="0"/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м ребенка в Алтайском крае в 2023 году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4" w:type="dxa"/>
            <w:textDirection w:val="lrTb"/>
            <w:noWrap w:val="false"/>
          </w:tcPr>
          <w:p>
            <w:pPr>
              <w:ind w:right="33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Проект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868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8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Рассмотрев доклад о результатах деятельности Уполномоченного по правам ребенка в Алтайском крае и соблюдении прав и законных интересов детей в Алтайском крае в 2023 году, Алтайское краевое Законодательное Собрание отмечает, что деятельность Уполномоченного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по правам ребенка в Алтайском крае в 2023 году осуществлялась в соответствии с законом Алтайского края от 4 июля 2019 года    № 59-ЗС «Об Уполномоченном по правам ребенка в Алтайском крае» и рекомендациями, изложенными в постановлении Алтайского краевого Зак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онодательного Собрания от 29 июня 2022 года № 195 «О деятельности Уполномоченного по правам ребенка в Алтайском крае в 2023 году».  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right="-1"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Приоритетными направлениями деятельности Уполномоченного по правам ребенка в Алтайском крае в 2023 году стали защита прав 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законных интересов детей на охрану здоровья и образование, организация отдыха и оздоровления детей с ограниченными возможностями здоровья, обеспечение информационной безопасности детей, предупреждение социального сиротства и минимизация сроков пребывания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детей в организациях для детей-сирот и детей, оставшихся без попечения родителей.    </w:t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ab/>
        <w:t xml:space="preserve">В 2023 году организовано активное взаимодействие Уполномоченного по правам ребенка в Алтайском крае с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социально ориентированными некоммерческими организациями и иными об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щественными организациями, оказывающими содействие в сфере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реабилитации  от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алкогольной зависимости родителей, имеющих несовершеннолетних детей.</w:t>
      </w: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Контроль за соблюдением прав детей осуществлялся при рассмотрении жалоб и обращений к Уполномоченному по права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 ребенка в Алтайском крае на основании документов, предоставленных государственными органами и органами местного самоуправления. Особое внимание Уполномоченного по правам ребенка в Алтайском крае уделялось защите прав детей в семье и в сфере образования. 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Деятельность по правовому просвещению граждан осуществлялась Уполномоченным по правам ребенка в Алтайском крае во взаимодействии с государственными органами, образовательными организациями, средствами массовой информации.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 соответствии со статьей 11 зако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на Алтайского края от 4 июля 2019 года         № 59-ЗС «Об Уполномоченном по правам ребенка в Алтайском крае» Алтайское краевое Законодательное Собрание ПОСТАНОВЛЯЕТ: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8"/>
        <w:ind w:left="0" w:right="-2" w:firstLine="709"/>
        <w:jc w:val="both"/>
        <w:tabs>
          <w:tab w:val="left" w:pos="8236" w:leader="none"/>
          <w:tab w:val="left" w:pos="8378" w:leader="none"/>
          <w:tab w:val="left" w:pos="8946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1. Принять к сведению доклад о результатах деятельности Уполномоченного по правам ребенка в Алта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йском крае и соблюдении прав и законных интересов детей в Алтайском крае в 2023 году.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8"/>
        <w:ind w:left="0" w:right="-2" w:firstLine="709"/>
        <w:jc w:val="both"/>
        <w:tabs>
          <w:tab w:val="left" w:pos="8236" w:leader="none"/>
          <w:tab w:val="left" w:pos="8378" w:leader="none"/>
          <w:tab w:val="left" w:pos="8946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 Согласиться с рекомендациями в адрес органов государственной власти, изложенными в докладе Уполномоченного по правам ребенка в Алтайском крае.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8"/>
        <w:ind w:left="0" w:right="-2" w:firstLine="709"/>
        <w:jc w:val="both"/>
        <w:tabs>
          <w:tab w:val="left" w:pos="8236" w:leader="none"/>
          <w:tab w:val="left" w:pos="8378" w:leader="none"/>
          <w:tab w:val="left" w:pos="8946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3. Рекомендовать Уполном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оченному по правам ребенка в Алтайском крае: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8"/>
        <w:ind w:left="0" w:right="-2" w:firstLine="709"/>
        <w:jc w:val="both"/>
        <w:tabs>
          <w:tab w:val="left" w:pos="8236" w:leader="none"/>
          <w:tab w:val="left" w:pos="8378" w:leader="none"/>
          <w:tab w:val="left" w:pos="8946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1) продолжить системную работу по соблюдению и защите прав и законных интересов детей на территории Алтайского края, обратив особое внимание на профилактику социального сиротства, соблюдение прав семей с детьми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на получение мер социальной поддержки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в сфере охраны здоровья и образования, организации отдыха и оздоровления детей с ограниченными возможностями, а также на принятие мер по минимизации сроков пребывания детей в организациях для детей-сирот и детей, остав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шихся без попечения родителей;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708"/>
        <w:ind w:left="0" w:right="-2" w:firstLine="709"/>
        <w:jc w:val="both"/>
        <w:tabs>
          <w:tab w:val="left" w:pos="1134" w:leader="none"/>
          <w:tab w:val="left" w:pos="1276" w:leader="none"/>
          <w:tab w:val="left" w:pos="8236" w:leader="none"/>
          <w:tab w:val="left" w:pos="8378" w:leader="none"/>
          <w:tab w:val="left" w:pos="8946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2) 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продолжить взаимодействие с социально ориентированными некоммерческими организациями и иными общественными организациями, осуществляющими деятельность в сфере социального обслуживания семей с детьми, находящихся в трудной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жизненной ситуации, социально опасном положении. 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4. Постоянным комитетам Алтайского краевого Законодательного Собрания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по образованию и науке, здравоохранению, спорту, культуре и молодежной политике, социальной защите и занятости населения совместно с Правительством Алтайского края изучить предложения, направленные на улучшение положения детей, обеспечение защиты их прав,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содержащиеся в докладе о результатах деятельности Уполномоченного по правам ребенка в Алтайском крае и соблюдении прав и законных интересов детей в Алтайском крае в 2023 году.</w:t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5. Предложить Правительству Алтайского края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продолжить системную работу в рамках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своих полномочий по совершенствованию существующих форм защиты прав ребенка с учетом предложений, содержащихся в докладе о результатах деятельности Уполномоченного по правам ребенка в Алтайском крае и соблюдении прав и законных интересов детей в Алтайском крае в 2023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году.  </w:t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 xml:space="preserve">4. Опубликовать настоящее постановление в газете «Алтайская правда».</w:t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tabs>
          <w:tab w:val="left" w:pos="8236" w:leader="none"/>
          <w:tab w:val="left" w:pos="8378" w:leader="none"/>
          <w:tab w:val="left" w:pos="8946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tabs>
          <w:tab w:val="left" w:pos="8236" w:leader="none"/>
          <w:tab w:val="left" w:pos="8378" w:leader="none"/>
          <w:tab w:val="left" w:pos="8946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tabs>
          <w:tab w:val="left" w:pos="8236" w:leader="none"/>
          <w:tab w:val="left" w:pos="8378" w:leader="none"/>
          <w:tab w:val="left" w:pos="8946" w:leader="none"/>
        </w:tabs>
        <w:rPr>
          <w:rFonts w:ascii="PT Astra Serif" w:hAnsi="PT Astra Serif" w:cs="PT Astra Serif"/>
          <w:sz w:val="26"/>
          <w:szCs w:val="26"/>
          <w:highlight w:val="yellow"/>
        </w:rPr>
      </w:pPr>
      <w:r>
        <w:rPr>
          <w:rFonts w:ascii="PT Astra Serif" w:hAnsi="PT Astra Serif" w:eastAsia="PT Astra Serif" w:cs="PT Astra Serif"/>
          <w:sz w:val="26"/>
          <w:szCs w:val="26"/>
          <w:highlight w:val="yellow"/>
        </w:rPr>
      </w:r>
      <w:r>
        <w:rPr>
          <w:rFonts w:ascii="PT Astra Serif" w:hAnsi="PT Astra Serif" w:cs="PT Astra Serif"/>
          <w:sz w:val="26"/>
          <w:szCs w:val="26"/>
          <w:highlight w:val="yellow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Председатель Алтайского краевого Законодательного Собрания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textDirection w:val="lrTb"/>
            <w:noWrap w:val="false"/>
          </w:tcPr>
          <w:p>
            <w:pPr>
              <w:jc w:val="both"/>
              <w:tabs>
                <w:tab w:val="left" w:pos="8236" w:leader="none"/>
                <w:tab w:val="left" w:pos="8378" w:leader="none"/>
                <w:tab w:val="left" w:pos="8946" w:leader="none"/>
              </w:tabs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right"/>
              <w:tabs>
                <w:tab w:val="left" w:pos="8236" w:leader="none"/>
                <w:tab w:val="left" w:pos="8378" w:leader="none"/>
                <w:tab w:val="left" w:pos="8946" w:leader="none"/>
              </w:tabs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А.А. Романенко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672">
    <w:name w:val="Heading 1"/>
    <w:basedOn w:val="671"/>
    <w:next w:val="671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Heading 1 Char"/>
    <w:basedOn w:val="681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Heading 2 Char"/>
    <w:basedOn w:val="681"/>
    <w:uiPriority w:val="9"/>
    <w:rPr>
      <w:rFonts w:ascii="Arial" w:hAnsi="Arial" w:eastAsia="Arial" w:cs="Arial"/>
      <w:sz w:val="34"/>
    </w:rPr>
  </w:style>
  <w:style w:type="character" w:styleId="686" w:customStyle="1">
    <w:name w:val="Heading 3 Char"/>
    <w:basedOn w:val="681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Heading 4 Char"/>
    <w:basedOn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Heading 5 Char"/>
    <w:basedOn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Heading 6 Char"/>
    <w:basedOn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Heading 7 Char"/>
    <w:basedOn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Heading 8 Char"/>
    <w:basedOn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Heading 9 Char"/>
    <w:basedOn w:val="681"/>
    <w:uiPriority w:val="9"/>
    <w:rPr>
      <w:rFonts w:ascii="Arial" w:hAnsi="Arial" w:eastAsia="Arial" w:cs="Arial"/>
      <w:i/>
      <w:iCs/>
      <w:sz w:val="21"/>
      <w:szCs w:val="21"/>
    </w:rPr>
  </w:style>
  <w:style w:type="character" w:styleId="693" w:customStyle="1">
    <w:name w:val="Title Char"/>
    <w:basedOn w:val="681"/>
    <w:uiPriority w:val="10"/>
    <w:rPr>
      <w:sz w:val="48"/>
      <w:szCs w:val="48"/>
    </w:rPr>
  </w:style>
  <w:style w:type="character" w:styleId="694" w:customStyle="1">
    <w:name w:val="Subtitle Char"/>
    <w:basedOn w:val="681"/>
    <w:uiPriority w:val="11"/>
    <w:rPr>
      <w:sz w:val="24"/>
      <w:szCs w:val="24"/>
    </w:rPr>
  </w:style>
  <w:style w:type="character" w:styleId="695" w:customStyle="1">
    <w:name w:val="Quote Char"/>
    <w:uiPriority w:val="29"/>
    <w:rPr>
      <w:i/>
    </w:rPr>
  </w:style>
  <w:style w:type="character" w:styleId="696" w:customStyle="1">
    <w:name w:val="Intense Quote Char"/>
    <w:uiPriority w:val="30"/>
    <w:rPr>
      <w:i/>
    </w:rPr>
  </w:style>
  <w:style w:type="character" w:styleId="697" w:customStyle="1">
    <w:name w:val="Footnote Text Char"/>
    <w:uiPriority w:val="99"/>
    <w:rPr>
      <w:sz w:val="18"/>
    </w:rPr>
  </w:style>
  <w:style w:type="character" w:styleId="698" w:customStyle="1">
    <w:name w:val="Endnote Text Char"/>
    <w:uiPriority w:val="99"/>
    <w:rPr>
      <w:sz w:val="20"/>
    </w:rPr>
  </w:style>
  <w:style w:type="character" w:styleId="699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701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671"/>
    <w:uiPriority w:val="34"/>
    <w:qFormat/>
    <w:pPr>
      <w:contextualSpacing/>
      <w:ind w:left="720"/>
    </w:pPr>
  </w:style>
  <w:style w:type="paragraph" w:styleId="709">
    <w:name w:val="No Spacing"/>
    <w:uiPriority w:val="1"/>
    <w:qFormat/>
  </w:style>
  <w:style w:type="paragraph" w:styleId="710">
    <w:name w:val="Title"/>
    <w:basedOn w:val="671"/>
    <w:next w:val="6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 w:customStyle="1">
    <w:name w:val="Название Знак"/>
    <w:link w:val="710"/>
    <w:uiPriority w:val="10"/>
    <w:rPr>
      <w:sz w:val="48"/>
      <w:szCs w:val="48"/>
    </w:rPr>
  </w:style>
  <w:style w:type="paragraph" w:styleId="712">
    <w:name w:val="Subtitle"/>
    <w:basedOn w:val="671"/>
    <w:next w:val="671"/>
    <w:link w:val="713"/>
    <w:uiPriority w:val="11"/>
    <w:qFormat/>
    <w:pPr>
      <w:spacing w:before="200" w:after="200"/>
    </w:pPr>
  </w:style>
  <w:style w:type="character" w:styleId="713" w:customStyle="1">
    <w:name w:val="Подзаголовок Знак"/>
    <w:link w:val="712"/>
    <w:uiPriority w:val="11"/>
    <w:rPr>
      <w:sz w:val="24"/>
      <w:szCs w:val="24"/>
    </w:rPr>
  </w:style>
  <w:style w:type="paragraph" w:styleId="714">
    <w:name w:val="Quote"/>
    <w:basedOn w:val="671"/>
    <w:next w:val="671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71"/>
    <w:next w:val="671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paragraph" w:styleId="718">
    <w:name w:val="Header"/>
    <w:basedOn w:val="671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9" w:customStyle="1">
    <w:name w:val="Header Char"/>
    <w:uiPriority w:val="99"/>
  </w:style>
  <w:style w:type="paragraph" w:styleId="720">
    <w:name w:val="Footer"/>
    <w:basedOn w:val="671"/>
    <w:link w:val="8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1" w:customStyle="1">
    <w:name w:val="Footer Char"/>
    <w:uiPriority w:val="99"/>
  </w:style>
  <w:style w:type="paragraph" w:styleId="722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 w:customStyle="1">
    <w:name w:val="Caption Char"/>
    <w:uiPriority w:val="99"/>
  </w:style>
  <w:style w:type="table" w:styleId="724">
    <w:name w:val="Table Grid"/>
    <w:basedOn w:val="682"/>
    <w:uiPriority w:val="39"/>
    <w:tblPr/>
  </w:style>
  <w:style w:type="table" w:styleId="72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/>
      <w:u w:val="single"/>
    </w:rPr>
  </w:style>
  <w:style w:type="paragraph" w:styleId="851">
    <w:name w:val="footnote text"/>
    <w:basedOn w:val="671"/>
    <w:link w:val="852"/>
    <w:uiPriority w:val="99"/>
    <w:semiHidden/>
    <w:unhideWhenUsed/>
    <w:pPr>
      <w:spacing w:after="40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671"/>
    <w:link w:val="855"/>
    <w:uiPriority w:val="99"/>
    <w:semiHidden/>
    <w:unhideWhenUsed/>
    <w:rPr>
      <w:sz w:val="20"/>
    </w:rPr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671"/>
    <w:next w:val="671"/>
    <w:uiPriority w:val="39"/>
    <w:unhideWhenUsed/>
    <w:pPr>
      <w:spacing w:after="57"/>
    </w:pPr>
  </w:style>
  <w:style w:type="paragraph" w:styleId="858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59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60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61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62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63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64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65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671"/>
    <w:next w:val="671"/>
    <w:uiPriority w:val="99"/>
    <w:unhideWhenUsed/>
  </w:style>
  <w:style w:type="paragraph" w:styleId="868">
    <w:name w:val="Body Text"/>
    <w:basedOn w:val="671"/>
    <w:link w:val="869"/>
    <w:semiHidden/>
    <w:unhideWhenUsed/>
    <w:pPr>
      <w:jc w:val="both"/>
    </w:pPr>
    <w:rPr>
      <w:sz w:val="28"/>
    </w:rPr>
  </w:style>
  <w:style w:type="character" w:styleId="869" w:customStyle="1">
    <w:name w:val="Основной текст Знак"/>
    <w:link w:val="868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70">
    <w:name w:val="Balloon Text"/>
    <w:basedOn w:val="671"/>
    <w:link w:val="871"/>
    <w:uiPriority w:val="99"/>
    <w:semiHidden/>
    <w:unhideWhenUsed/>
    <w:rPr>
      <w:rFonts w:ascii="Tahoma" w:hAnsi="Tahoma" w:cs="Tahoma"/>
      <w:sz w:val="16"/>
      <w:szCs w:val="16"/>
    </w:rPr>
  </w:style>
  <w:style w:type="character" w:styleId="871" w:customStyle="1">
    <w:name w:val="Текст выноски Знак"/>
    <w:link w:val="87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72">
    <w:name w:val="annotation reference"/>
    <w:uiPriority w:val="99"/>
    <w:semiHidden/>
    <w:unhideWhenUsed/>
    <w:rPr>
      <w:sz w:val="16"/>
      <w:szCs w:val="16"/>
    </w:rPr>
  </w:style>
  <w:style w:type="paragraph" w:styleId="873">
    <w:name w:val="annotation text"/>
    <w:basedOn w:val="671"/>
    <w:link w:val="874"/>
    <w:uiPriority w:val="99"/>
    <w:semiHidden/>
    <w:unhideWhenUsed/>
    <w:rPr>
      <w:sz w:val="20"/>
      <w:szCs w:val="20"/>
    </w:rPr>
  </w:style>
  <w:style w:type="character" w:styleId="874" w:customStyle="1">
    <w:name w:val="Текст примечания Знак"/>
    <w:link w:val="87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5">
    <w:name w:val="annotation subject"/>
    <w:basedOn w:val="873"/>
    <w:next w:val="873"/>
    <w:link w:val="876"/>
    <w:uiPriority w:val="99"/>
    <w:semiHidden/>
    <w:unhideWhenUsed/>
    <w:rPr>
      <w:b/>
      <w:bCs/>
    </w:rPr>
  </w:style>
  <w:style w:type="character" w:styleId="876" w:customStyle="1">
    <w:name w:val="Тема примечания Знак"/>
    <w:link w:val="875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77">
    <w:name w:val="Body Text Indent"/>
    <w:basedOn w:val="671"/>
    <w:link w:val="878"/>
    <w:uiPriority w:val="99"/>
    <w:semiHidden/>
    <w:unhideWhenUsed/>
    <w:pPr>
      <w:ind w:left="283"/>
      <w:spacing w:after="120"/>
    </w:pPr>
  </w:style>
  <w:style w:type="character" w:styleId="878" w:customStyle="1">
    <w:name w:val="Основной текст с отступом Знак"/>
    <w:link w:val="87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9" w:customStyle="1">
    <w:name w:val="Верхний колонтитул Знак"/>
    <w:link w:val="71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0" w:customStyle="1">
    <w:name w:val="Нижний колонтитул Знак"/>
    <w:link w:val="72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1" w:customStyle="1">
    <w:name w:val="ConsPlusTitle"/>
    <w:pPr>
      <w:widowControl w:val="off"/>
    </w:pPr>
    <w:rPr>
      <w:rFonts w:ascii="Arial" w:hAnsi="Arial" w:eastAsia="Times New Roman" w:cs="Arial"/>
      <w:b/>
      <w:bCs/>
      <w:lang w:eastAsia="ru-RU"/>
    </w:rPr>
  </w:style>
  <w:style w:type="character" w:styleId="882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revision>32</cp:revision>
  <dcterms:created xsi:type="dcterms:W3CDTF">2020-07-31T03:20:00Z</dcterms:created>
  <dcterms:modified xsi:type="dcterms:W3CDTF">2024-05-21T09:06:40Z</dcterms:modified>
  <cp:version>917504</cp:version>
</cp:coreProperties>
</file>